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NDIS Code of Conduct Policy</w:t>
      </w:r>
    </w:p>
    <w:p>
      <w:pPr>
        <w:spacing w:after="160"/>
      </w:pPr>
      <w:r>
        <w:rPr>
          <w:i/>
          <w:iCs/>
          <w:color w:val="6B6285"/>
        </w:rPr>
        <w:t xml:space="preserve">A practical, editable policy template for Australian NDIS providers. Replace every [bracketed placeholder], delete this paragraph, and have the final version approved by your governing body. This template is general information, not legal advice.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C9BCEB" w:sz="1"/>
              <w:left w:val="single" w:color="C9BCEB" w:sz="1"/>
              <w:bottom w:val="single" w:color="C9BCEB" w:sz="1"/>
              <w:right w:val="single" w:color="C9BCEB" w:sz="1"/>
            </w:tcBorders>
            <w:shd w:fill="EFE9FB" w:val="clear"/>
            <w:tcMar>
              <w:top w:type="dxa" w:w="100"/>
              <w:left w:type="dxa" w:w="140"/>
              <w:bottom w:type="dxa" w:w="100"/>
              <w:right w:type="dxa" w:w="140"/>
            </w:tcMar>
          </w:tcPr>
          <w:p>
            <w:r>
              <w:rPr>
                <w:b/>
                <w:bCs/>
              </w:rPr>
              <w:t xml:space="preserve">Policy number</w:t>
            </w:r>
          </w:p>
        </w:tc>
        <w:tc>
          <w:tcPr>
            <w:tcW w:type="dxa" w:w="6026"/>
            <w:tcBorders>
              <w:top w:val="single" w:color="C9BCEB" w:sz="1"/>
              <w:left w:val="single" w:color="C9BCEB" w:sz="1"/>
              <w:bottom w:val="single" w:color="C9BCEB" w:sz="1"/>
              <w:right w:val="single" w:color="C9BCEB" w:sz="1"/>
            </w:tcBorders>
            <w:tcMar>
              <w:top w:type="dxa" w:w="100"/>
              <w:left w:type="dxa" w:w="140"/>
              <w:bottom w:type="dxa" w:w="100"/>
              <w:right w:type="dxa" w:w="140"/>
            </w:tcMar>
          </w:tcPr>
          <w:p>
            <w:r>
              <w:t xml:space="preserve">[e.g. POL-001]</w:t>
            </w:r>
          </w:p>
        </w:tc>
      </w:tr>
      <w:tr>
        <w:tc>
          <w:tcPr>
            <w:tcW w:type="dxa" w:w="3000"/>
            <w:tcBorders>
              <w:top w:val="single" w:color="C9BCEB" w:sz="1"/>
              <w:left w:val="single" w:color="C9BCEB" w:sz="1"/>
              <w:bottom w:val="single" w:color="C9BCEB" w:sz="1"/>
              <w:right w:val="single" w:color="C9BCEB" w:sz="1"/>
            </w:tcBorders>
            <w:shd w:fill="EFE9FB" w:val="clear"/>
            <w:tcMar>
              <w:top w:type="dxa" w:w="100"/>
              <w:left w:type="dxa" w:w="140"/>
              <w:bottom w:type="dxa" w:w="100"/>
              <w:right w:type="dxa" w:w="140"/>
            </w:tcMar>
          </w:tcPr>
          <w:p>
            <w:r>
              <w:rPr>
                <w:b/>
                <w:bCs/>
              </w:rPr>
              <w:t xml:space="preserve">Version</w:t>
            </w:r>
          </w:p>
        </w:tc>
        <w:tc>
          <w:tcPr>
            <w:tcW w:type="dxa" w:w="6026"/>
            <w:tcBorders>
              <w:top w:val="single" w:color="C9BCEB" w:sz="1"/>
              <w:left w:val="single" w:color="C9BCEB" w:sz="1"/>
              <w:bottom w:val="single" w:color="C9BCEB" w:sz="1"/>
              <w:right w:val="single" w:color="C9BCEB" w:sz="1"/>
            </w:tcBorders>
            <w:tcMar>
              <w:top w:type="dxa" w:w="100"/>
              <w:left w:type="dxa" w:w="140"/>
              <w:bottom w:type="dxa" w:w="100"/>
              <w:right w:type="dxa" w:w="140"/>
            </w:tcMar>
          </w:tcPr>
          <w:p>
            <w:r>
              <w:t xml:space="preserve">[1.0]</w:t>
            </w:r>
          </w:p>
        </w:tc>
      </w:tr>
      <w:tr>
        <w:tc>
          <w:tcPr>
            <w:tcW w:type="dxa" w:w="3000"/>
            <w:tcBorders>
              <w:top w:val="single" w:color="C9BCEB" w:sz="1"/>
              <w:left w:val="single" w:color="C9BCEB" w:sz="1"/>
              <w:bottom w:val="single" w:color="C9BCEB" w:sz="1"/>
              <w:right w:val="single" w:color="C9BCEB" w:sz="1"/>
            </w:tcBorders>
            <w:shd w:fill="EFE9FB" w:val="clear"/>
            <w:tcMar>
              <w:top w:type="dxa" w:w="100"/>
              <w:left w:type="dxa" w:w="140"/>
              <w:bottom w:type="dxa" w:w="100"/>
              <w:right w:type="dxa" w:w="140"/>
            </w:tcMar>
          </w:tcPr>
          <w:p>
            <w:r>
              <w:rPr>
                <w:b/>
                <w:bCs/>
              </w:rPr>
              <w:t xml:space="preserve">Approved by</w:t>
            </w:r>
          </w:p>
        </w:tc>
        <w:tc>
          <w:tcPr>
            <w:tcW w:type="dxa" w:w="6026"/>
            <w:tcBorders>
              <w:top w:val="single" w:color="C9BCEB" w:sz="1"/>
              <w:left w:val="single" w:color="C9BCEB" w:sz="1"/>
              <w:bottom w:val="single" w:color="C9BCEB" w:sz="1"/>
              <w:right w:val="single" w:color="C9BCEB" w:sz="1"/>
            </w:tcBorders>
            <w:tcMar>
              <w:top w:type="dxa" w:w="100"/>
              <w:left w:type="dxa" w:w="140"/>
              <w:bottom w:type="dxa" w:w="100"/>
              <w:right w:type="dxa" w:w="140"/>
            </w:tcMar>
          </w:tcPr>
          <w:p>
            <w:r>
              <w:t xml:space="preserve">[Name and role, e.g. Director]</w:t>
            </w:r>
          </w:p>
        </w:tc>
      </w:tr>
      <w:tr>
        <w:tc>
          <w:tcPr>
            <w:tcW w:type="dxa" w:w="3000"/>
            <w:tcBorders>
              <w:top w:val="single" w:color="C9BCEB" w:sz="1"/>
              <w:left w:val="single" w:color="C9BCEB" w:sz="1"/>
              <w:bottom w:val="single" w:color="C9BCEB" w:sz="1"/>
              <w:right w:val="single" w:color="C9BCEB" w:sz="1"/>
            </w:tcBorders>
            <w:shd w:fill="EFE9FB" w:val="clear"/>
            <w:tcMar>
              <w:top w:type="dxa" w:w="100"/>
              <w:left w:type="dxa" w:w="140"/>
              <w:bottom w:type="dxa" w:w="100"/>
              <w:right w:type="dxa" w:w="140"/>
            </w:tcMar>
          </w:tcPr>
          <w:p>
            <w:r>
              <w:rPr>
                <w:b/>
                <w:bCs/>
              </w:rPr>
              <w:t xml:space="preserve">Date approved</w:t>
            </w:r>
          </w:p>
        </w:tc>
        <w:tc>
          <w:tcPr>
            <w:tcW w:type="dxa" w:w="6026"/>
            <w:tcBorders>
              <w:top w:val="single" w:color="C9BCEB" w:sz="1"/>
              <w:left w:val="single" w:color="C9BCEB" w:sz="1"/>
              <w:bottom w:val="single" w:color="C9BCEB" w:sz="1"/>
              <w:right w:val="single" w:color="C9BCEB" w:sz="1"/>
            </w:tcBorders>
            <w:tcMar>
              <w:top w:type="dxa" w:w="100"/>
              <w:left w:type="dxa" w:w="140"/>
              <w:bottom w:type="dxa" w:w="100"/>
              <w:right w:type="dxa" w:w="140"/>
            </w:tcMar>
          </w:tcPr>
          <w:p>
            <w:r>
              <w:t xml:space="preserve">[DD/MM/YYYY]</w:t>
            </w:r>
          </w:p>
        </w:tc>
      </w:tr>
      <w:tr>
        <w:tc>
          <w:tcPr>
            <w:tcW w:type="dxa" w:w="3000"/>
            <w:tcBorders>
              <w:top w:val="single" w:color="C9BCEB" w:sz="1"/>
              <w:left w:val="single" w:color="C9BCEB" w:sz="1"/>
              <w:bottom w:val="single" w:color="C9BCEB" w:sz="1"/>
              <w:right w:val="single" w:color="C9BCEB" w:sz="1"/>
            </w:tcBorders>
            <w:shd w:fill="EFE9FB" w:val="clear"/>
            <w:tcMar>
              <w:top w:type="dxa" w:w="100"/>
              <w:left w:type="dxa" w:w="140"/>
              <w:bottom w:type="dxa" w:w="100"/>
              <w:right w:type="dxa" w:w="140"/>
            </w:tcMar>
          </w:tcPr>
          <w:p>
            <w:r>
              <w:rPr>
                <w:b/>
                <w:bCs/>
              </w:rPr>
              <w:t xml:space="preserve">Next review date</w:t>
            </w:r>
          </w:p>
        </w:tc>
        <w:tc>
          <w:tcPr>
            <w:tcW w:type="dxa" w:w="6026"/>
            <w:tcBorders>
              <w:top w:val="single" w:color="C9BCEB" w:sz="1"/>
              <w:left w:val="single" w:color="C9BCEB" w:sz="1"/>
              <w:bottom w:val="single" w:color="C9BCEB" w:sz="1"/>
              <w:right w:val="single" w:color="C9BCEB" w:sz="1"/>
            </w:tcBorders>
            <w:tcMar>
              <w:top w:type="dxa" w:w="100"/>
              <w:left w:type="dxa" w:w="140"/>
              <w:bottom w:type="dxa" w:w="100"/>
              <w:right w:type="dxa" w:w="140"/>
            </w:tcMar>
          </w:tcPr>
          <w:p>
            <w:r>
              <w:t xml:space="preserve">[DD/MM/YYYY, no more than 12 months away]</w:t>
            </w:r>
          </w:p>
        </w:tc>
      </w:tr>
      <w:tr>
        <w:tc>
          <w:tcPr>
            <w:tcW w:type="dxa" w:w="3000"/>
            <w:tcBorders>
              <w:top w:val="single" w:color="C9BCEB" w:sz="1"/>
              <w:left w:val="single" w:color="C9BCEB" w:sz="1"/>
              <w:bottom w:val="single" w:color="C9BCEB" w:sz="1"/>
              <w:right w:val="single" w:color="C9BCEB" w:sz="1"/>
            </w:tcBorders>
            <w:shd w:fill="EFE9FB" w:val="clear"/>
            <w:tcMar>
              <w:top w:type="dxa" w:w="100"/>
              <w:left w:type="dxa" w:w="140"/>
              <w:bottom w:type="dxa" w:w="100"/>
              <w:right w:type="dxa" w:w="140"/>
            </w:tcMar>
          </w:tcPr>
          <w:p>
            <w:r>
              <w:rPr>
                <w:b/>
                <w:bCs/>
              </w:rPr>
              <w:t xml:space="preserve">Applies to</w:t>
            </w:r>
          </w:p>
        </w:tc>
        <w:tc>
          <w:tcPr>
            <w:tcW w:type="dxa" w:w="6026"/>
            <w:tcBorders>
              <w:top w:val="single" w:color="C9BCEB" w:sz="1"/>
              <w:left w:val="single" w:color="C9BCEB" w:sz="1"/>
              <w:bottom w:val="single" w:color="C9BCEB" w:sz="1"/>
              <w:right w:val="single" w:color="C9BCEB" w:sz="1"/>
            </w:tcBorders>
            <w:tcMar>
              <w:top w:type="dxa" w:w="100"/>
              <w:left w:type="dxa" w:w="140"/>
              <w:bottom w:type="dxa" w:w="100"/>
              <w:right w:type="dxa" w:w="140"/>
            </w:tcMar>
          </w:tcPr>
          <w:p>
            <w:r>
              <w:t xml:space="preserve">All workers: employees, contractors, volunteers and students</w:t>
            </w:r>
          </w:p>
        </w:tc>
      </w:tr>
    </w:tbl>
    <w:p>
      <w:pPr>
        <w:pStyle w:val="Heading1"/>
      </w:pPr>
      <w:r>
        <w:t xml:space="preserve">1. Purpose</w:t>
      </w:r>
    </w:p>
    <w:p>
      <w:pPr>
        <w:spacing w:after="160"/>
      </w:pPr>
      <w:r>
        <w:t xml:space="preserve">This policy explains how [Organisation Name] and every person who works for us meets the NDIS Code of Conduct. It sets out the behaviour we expect, what happens when the Code is breached, and how anyone can raise a concern safely.</w:t>
      </w:r>
    </w:p>
    <w:p>
      <w:pPr>
        <w:pStyle w:val="Heading1"/>
      </w:pPr>
      <w:r>
        <w:t xml:space="preserve">2. Scope</w:t>
      </w:r>
    </w:p>
    <w:p>
      <w:pPr>
        <w:spacing w:after="160"/>
      </w:pPr>
      <w:r>
        <w:t xml:space="preserve">This policy applies to everyone engaged by [Organisation Name] in any capacity: employees, contractors, subcontractors, volunteers, students on placement, and members of the governing body. It applies wherever supports are delivered, including participants' homes, the community, online and over the phone.</w:t>
      </w:r>
    </w:p>
    <w:p>
      <w:pPr>
        <w:pStyle w:val="Heading1"/>
      </w:pPr>
      <w:r>
        <w:t xml:space="preserve">3. The NDIS Code of Conduct</w:t>
      </w:r>
    </w:p>
    <w:p>
      <w:pPr>
        <w:spacing w:after="160"/>
      </w:pPr>
      <w:r>
        <w:t xml:space="preserve">The NDIS Code of Conduct (NDIS (Code of Conduct) Rules 2018) applies to all NDIS providers and workers, registered and unregistered. In providing supports or services to people with disability, we must:</w:t>
      </w:r>
    </w:p>
    <w:p>
      <w:pPr>
        <w:pStyle w:val="ListParagraph"/>
        <w:numPr>
          <w:ilvl w:val="0"/>
          <w:numId w:val="2"/>
        </w:numPr>
        <w:spacing w:after="80"/>
      </w:pPr>
      <w:r>
        <w:t xml:space="preserve">Act with respect for individual rights to freedom of expression, self-determination, and decision-making in accordance with relevant laws and conventions.</w:t>
      </w:r>
    </w:p>
    <w:p>
      <w:pPr>
        <w:pStyle w:val="ListParagraph"/>
        <w:numPr>
          <w:ilvl w:val="0"/>
          <w:numId w:val="2"/>
        </w:numPr>
        <w:spacing w:after="80"/>
      </w:pPr>
      <w:r>
        <w:t xml:space="preserve">Respect the privacy of people with disability.</w:t>
      </w:r>
    </w:p>
    <w:p>
      <w:pPr>
        <w:pStyle w:val="ListParagraph"/>
        <w:numPr>
          <w:ilvl w:val="0"/>
          <w:numId w:val="2"/>
        </w:numPr>
        <w:spacing w:after="80"/>
      </w:pPr>
      <w:r>
        <w:t xml:space="preserve">Provide supports and services in a safe and competent manner with care and skill.</w:t>
      </w:r>
    </w:p>
    <w:p>
      <w:pPr>
        <w:pStyle w:val="ListParagraph"/>
        <w:numPr>
          <w:ilvl w:val="0"/>
          <w:numId w:val="2"/>
        </w:numPr>
        <w:spacing w:after="80"/>
      </w:pPr>
      <w:r>
        <w:t xml:space="preserve">Act with integrity, honesty, and transparency.</w:t>
      </w:r>
    </w:p>
    <w:p>
      <w:pPr>
        <w:pStyle w:val="ListParagraph"/>
        <w:numPr>
          <w:ilvl w:val="0"/>
          <w:numId w:val="2"/>
        </w:numPr>
        <w:spacing w:after="80"/>
      </w:pPr>
      <w:r>
        <w:t xml:space="preserve">Promptly take steps to raise and act on concerns about matters that might have an impact on the quality and safety of supports provided to people with disability.</w:t>
      </w:r>
    </w:p>
    <w:p>
      <w:pPr>
        <w:pStyle w:val="ListParagraph"/>
        <w:numPr>
          <w:ilvl w:val="0"/>
          <w:numId w:val="2"/>
        </w:numPr>
        <w:spacing w:after="80"/>
      </w:pPr>
      <w:r>
        <w:t xml:space="preserve">Take all reasonable steps to prevent and respond to all forms of violence, exploitation, neglect, and abuse of people with disability.</w:t>
      </w:r>
    </w:p>
    <w:p>
      <w:pPr>
        <w:pStyle w:val="ListParagraph"/>
        <w:numPr>
          <w:ilvl w:val="0"/>
          <w:numId w:val="2"/>
        </w:numPr>
        <w:spacing w:after="160"/>
      </w:pPr>
      <w:r>
        <w:t xml:space="preserve">Take all reasonable steps to prevent and respond to sexual misconduct.</w:t>
      </w:r>
    </w:p>
    <w:p>
      <w:pPr>
        <w:pStyle w:val="Heading1"/>
      </w:pPr>
      <w:r>
        <w:t xml:space="preserve">4. What this looks like in practice</w:t>
      </w:r>
    </w:p>
    <w:p>
      <w:pPr>
        <w:pStyle w:val="Heading2"/>
      </w:pPr>
      <w:r>
        <w:t xml:space="preserve">4.1 Respecting rights and decision-making</w:t>
      </w:r>
    </w:p>
    <w:p>
      <w:pPr>
        <w:pStyle w:val="ListParagraph"/>
        <w:numPr>
          <w:ilvl w:val="0"/>
          <w:numId w:val="3"/>
        </w:numPr>
        <w:spacing w:after="80"/>
      </w:pPr>
      <w:r>
        <w:t xml:space="preserve">We support participants to make their own choices about their supports, goals and daily life.</w:t>
      </w:r>
    </w:p>
    <w:p>
      <w:pPr>
        <w:pStyle w:val="ListParagraph"/>
        <w:numPr>
          <w:ilvl w:val="0"/>
          <w:numId w:val="3"/>
        </w:numPr>
        <w:spacing w:after="80"/>
      </w:pPr>
      <w:r>
        <w:t xml:space="preserve">We presume capacity, offer information in formats the person understands, and allow time for decisions.</w:t>
      </w:r>
    </w:p>
    <w:p>
      <w:pPr>
        <w:pStyle w:val="ListParagraph"/>
        <w:numPr>
          <w:ilvl w:val="0"/>
          <w:numId w:val="3"/>
        </w:numPr>
        <w:spacing w:after="80"/>
      </w:pPr>
      <w:r>
        <w:t xml:space="preserve">We never coerce, pressure or unduly influence a participant, including about service agreements or plan spending.</w:t>
      </w:r>
    </w:p>
    <w:p>
      <w:pPr>
        <w:pStyle w:val="Heading2"/>
      </w:pPr>
      <w:r>
        <w:t xml:space="preserve">4.2 Privacy</w:t>
      </w:r>
    </w:p>
    <w:p>
      <w:pPr>
        <w:pStyle w:val="ListParagraph"/>
        <w:numPr>
          <w:ilvl w:val="0"/>
          <w:numId w:val="3"/>
        </w:numPr>
        <w:spacing w:after="80"/>
      </w:pPr>
      <w:r>
        <w:t xml:space="preserve">We collect only the personal information we need to deliver supports, and store it securely.</w:t>
      </w:r>
    </w:p>
    <w:p>
      <w:pPr>
        <w:pStyle w:val="ListParagraph"/>
        <w:numPr>
          <w:ilvl w:val="0"/>
          <w:numId w:val="3"/>
        </w:numPr>
        <w:spacing w:after="80"/>
      </w:pPr>
      <w:r>
        <w:t xml:space="preserve">We obtain consent before sharing a participant's information, except where the law requires disclosure.</w:t>
      </w:r>
    </w:p>
    <w:p>
      <w:pPr>
        <w:pStyle w:val="ListParagraph"/>
        <w:numPr>
          <w:ilvl w:val="0"/>
          <w:numId w:val="3"/>
        </w:numPr>
        <w:spacing w:after="80"/>
      </w:pPr>
      <w:r>
        <w:t xml:space="preserve">We never discuss participants in public places, on social media, or with people who have no need to know.</w:t>
      </w:r>
    </w:p>
    <w:p>
      <w:pPr>
        <w:pStyle w:val="Heading2"/>
      </w:pPr>
      <w:r>
        <w:t xml:space="preserve">4.3 Safe and competent supports</w:t>
      </w:r>
    </w:p>
    <w:p>
      <w:pPr>
        <w:pStyle w:val="ListParagraph"/>
        <w:numPr>
          <w:ilvl w:val="0"/>
          <w:numId w:val="3"/>
        </w:numPr>
        <w:spacing w:after="80"/>
      </w:pPr>
      <w:r>
        <w:t xml:space="preserve">Workers deliver only the supports they are trained, qualified and authorised to deliver.</w:t>
      </w:r>
    </w:p>
    <w:p>
      <w:pPr>
        <w:pStyle w:val="ListParagraph"/>
        <w:numPr>
          <w:ilvl w:val="0"/>
          <w:numId w:val="3"/>
        </w:numPr>
        <w:spacing w:after="80"/>
      </w:pPr>
      <w:r>
        <w:t xml:space="preserve">We follow each participant's support plan, mealtime management plan, medication and positive behaviour support requirements.</w:t>
      </w:r>
    </w:p>
    <w:p>
      <w:pPr>
        <w:pStyle w:val="ListParagraph"/>
        <w:numPr>
          <w:ilvl w:val="0"/>
          <w:numId w:val="3"/>
        </w:numPr>
        <w:spacing w:after="80"/>
      </w:pPr>
      <w:r>
        <w:t xml:space="preserve">We maintain required checks and training, including NDIS Worker Screening and the NDIS Worker Orientation Module.</w:t>
      </w:r>
    </w:p>
    <w:p>
      <w:pPr>
        <w:pStyle w:val="Heading2"/>
      </w:pPr>
      <w:r>
        <w:t xml:space="preserve">4.4 Integrity, honesty and transparency</w:t>
      </w:r>
    </w:p>
    <w:p>
      <w:pPr>
        <w:pStyle w:val="ListParagraph"/>
        <w:numPr>
          <w:ilvl w:val="0"/>
          <w:numId w:val="3"/>
        </w:numPr>
        <w:spacing w:after="80"/>
      </w:pPr>
      <w:r>
        <w:t xml:space="preserve">We claim only for supports actually delivered, at the agreed price, with accurate records.</w:t>
      </w:r>
    </w:p>
    <w:p>
      <w:pPr>
        <w:pStyle w:val="ListParagraph"/>
        <w:numPr>
          <w:ilvl w:val="0"/>
          <w:numId w:val="3"/>
        </w:numPr>
        <w:spacing w:after="80"/>
      </w:pPr>
      <w:r>
        <w:t xml:space="preserve">We declare conflicts of interest and never offer inducements (gifts, cash, rewards) to gain or keep a participant.</w:t>
      </w:r>
    </w:p>
    <w:p>
      <w:pPr>
        <w:pStyle w:val="ListParagraph"/>
        <w:numPr>
          <w:ilvl w:val="0"/>
          <w:numId w:val="3"/>
        </w:numPr>
        <w:spacing w:after="80"/>
      </w:pPr>
      <w:r>
        <w:t xml:space="preserve">We give honest information about our services and never make misleading claims in our marketing.</w:t>
      </w:r>
    </w:p>
    <w:p>
      <w:pPr>
        <w:pStyle w:val="Heading2"/>
      </w:pPr>
      <w:r>
        <w:t xml:space="preserve">4.5 Raising concerns about quality and safety</w:t>
      </w:r>
    </w:p>
    <w:p>
      <w:pPr>
        <w:pStyle w:val="ListParagraph"/>
        <w:numPr>
          <w:ilvl w:val="0"/>
          <w:numId w:val="3"/>
        </w:numPr>
        <w:spacing w:after="80"/>
      </w:pPr>
      <w:r>
        <w:t xml:space="preserve">Every worker must report concerns about the quality or safety of supports immediately to [role, e.g. their supervisor or the Director].</w:t>
      </w:r>
    </w:p>
    <w:p>
      <w:pPr>
        <w:pStyle w:val="ListParagraph"/>
        <w:numPr>
          <w:ilvl w:val="0"/>
          <w:numId w:val="3"/>
        </w:numPr>
        <w:spacing w:after="80"/>
      </w:pPr>
      <w:r>
        <w:t xml:space="preserve">We treat people who raise concerns fairly and protect them from reprisal.</w:t>
      </w:r>
    </w:p>
    <w:p>
      <w:pPr>
        <w:pStyle w:val="Heading2"/>
      </w:pPr>
      <w:r>
        <w:t xml:space="preserve">4.6 Preventing violence, exploitation, neglect and abuse</w:t>
      </w:r>
    </w:p>
    <w:p>
      <w:pPr>
        <w:pStyle w:val="ListParagraph"/>
        <w:numPr>
          <w:ilvl w:val="0"/>
          <w:numId w:val="3"/>
        </w:numPr>
        <w:spacing w:after="80"/>
      </w:pPr>
      <w:r>
        <w:t xml:space="preserve">We have zero tolerance for violence, abuse, neglect or exploitation of people with disability.</w:t>
      </w:r>
    </w:p>
    <w:p>
      <w:pPr>
        <w:pStyle w:val="ListParagraph"/>
        <w:numPr>
          <w:ilvl w:val="0"/>
          <w:numId w:val="3"/>
        </w:numPr>
        <w:spacing w:after="80"/>
      </w:pPr>
      <w:r>
        <w:t xml:space="preserve">Workers must report any suspicion, allegation or incident immediately to [role], who will follow our Incident Management Policy, including reportable incident notification to the NDIS Commission within required timeframes.</w:t>
      </w:r>
    </w:p>
    <w:p>
      <w:pPr>
        <w:pStyle w:val="Heading2"/>
      </w:pPr>
      <w:r>
        <w:t xml:space="preserve">4.7 Preventing sexual misconduct</w:t>
      </w:r>
    </w:p>
    <w:p>
      <w:pPr>
        <w:pStyle w:val="ListParagraph"/>
        <w:numPr>
          <w:ilvl w:val="0"/>
          <w:numId w:val="3"/>
        </w:numPr>
        <w:spacing w:after="80"/>
      </w:pPr>
      <w:r>
        <w:t xml:space="preserve">Sexual contact or romantic relationships between workers and participants are prohibited.</w:t>
      </w:r>
    </w:p>
    <w:p>
      <w:pPr>
        <w:pStyle w:val="ListParagraph"/>
        <w:numPr>
          <w:ilvl w:val="0"/>
          <w:numId w:val="3"/>
        </w:numPr>
        <w:spacing w:after="80"/>
      </w:pPr>
      <w:r>
        <w:t xml:space="preserve">Any allegation of sexual misconduct is treated as a reportable incident and managed under our Incident Management Policy.</w:t>
      </w:r>
    </w:p>
    <w:p>
      <w:pPr>
        <w:pStyle w:val="Heading1"/>
      </w:pPr>
      <w:r>
        <w:t xml:space="preserve">5. Worker responsibilities</w:t>
      </w:r>
    </w:p>
    <w:p>
      <w:pPr>
        <w:pStyle w:val="ListParagraph"/>
        <w:numPr>
          <w:ilvl w:val="0"/>
          <w:numId w:val="3"/>
        </w:numPr>
        <w:spacing w:after="80"/>
      </w:pPr>
      <w:r>
        <w:t xml:space="preserve">Read, understand and comply with this policy and sign the acknowledgement at the end.</w:t>
      </w:r>
    </w:p>
    <w:p>
      <w:pPr>
        <w:pStyle w:val="ListParagraph"/>
        <w:numPr>
          <w:ilvl w:val="0"/>
          <w:numId w:val="3"/>
        </w:numPr>
        <w:spacing w:after="80"/>
      </w:pPr>
      <w:r>
        <w:t xml:space="preserve">Complete the NDIS Worker Orientation Module and keep screening checks current.</w:t>
      </w:r>
    </w:p>
    <w:p>
      <w:pPr>
        <w:pStyle w:val="ListParagraph"/>
        <w:numPr>
          <w:ilvl w:val="0"/>
          <w:numId w:val="3"/>
        </w:numPr>
        <w:spacing w:after="80"/>
      </w:pPr>
      <w:r>
        <w:t xml:space="preserve">Report breaches, near-misses and concerns promptly.</w:t>
      </w:r>
    </w:p>
    <w:p>
      <w:pPr>
        <w:pStyle w:val="Heading1"/>
      </w:pPr>
      <w:r>
        <w:t xml:space="preserve">6. Management responsibilities</w:t>
      </w:r>
    </w:p>
    <w:p>
      <w:pPr>
        <w:pStyle w:val="ListParagraph"/>
        <w:numPr>
          <w:ilvl w:val="0"/>
          <w:numId w:val="3"/>
        </w:numPr>
        <w:spacing w:after="80"/>
      </w:pPr>
      <w:r>
        <w:t xml:space="preserve">Provide this policy to every new worker before they deliver supports, and refresh training at least annually.</w:t>
      </w:r>
    </w:p>
    <w:p>
      <w:pPr>
        <w:pStyle w:val="ListParagraph"/>
        <w:numPr>
          <w:ilvl w:val="0"/>
          <w:numId w:val="3"/>
        </w:numPr>
        <w:spacing w:after="80"/>
      </w:pPr>
      <w:r>
        <w:t xml:space="preserve">Act on every reported concern promptly, fairly and confidentially.</w:t>
      </w:r>
    </w:p>
    <w:p>
      <w:pPr>
        <w:pStyle w:val="ListParagraph"/>
        <w:numPr>
          <w:ilvl w:val="0"/>
          <w:numId w:val="3"/>
        </w:numPr>
        <w:spacing w:after="80"/>
      </w:pPr>
      <w:r>
        <w:t xml:space="preserve">Keep records of training, acknowledgements, concerns raised and actions taken.</w:t>
      </w:r>
    </w:p>
    <w:p>
      <w:pPr>
        <w:pStyle w:val="ListParagraph"/>
        <w:numPr>
          <w:ilvl w:val="0"/>
          <w:numId w:val="3"/>
        </w:numPr>
        <w:spacing w:after="80"/>
      </w:pPr>
      <w:r>
        <w:t xml:space="preserve">Review this policy at least every 12 months and whenever the rules change.</w:t>
      </w:r>
    </w:p>
    <w:p>
      <w:pPr>
        <w:pStyle w:val="Heading1"/>
      </w:pPr>
      <w:r>
        <w:t xml:space="preserve">7. Breaches of this policy</w:t>
      </w:r>
    </w:p>
    <w:p>
      <w:pPr>
        <w:spacing w:after="160"/>
      </w:pPr>
      <w:r>
        <w:t xml:space="preserve">A breach of this policy may result in disciplinary action, up to and including termination of employment or engagement. Some breaches must also be notified to the NDIS Commission and may carry civil penalties under the NDIS Act. Where conduct may be criminal, we will report it to the police.</w:t>
      </w:r>
    </w:p>
    <w:p>
      <w:pPr>
        <w:pStyle w:val="Heading1"/>
      </w:pPr>
      <w:r>
        <w:t xml:space="preserve">8. How to raise a concern</w:t>
      </w:r>
    </w:p>
    <w:p>
      <w:pPr>
        <w:pStyle w:val="ListParagraph"/>
        <w:numPr>
          <w:ilvl w:val="0"/>
          <w:numId w:val="3"/>
        </w:numPr>
        <w:spacing w:after="80"/>
      </w:pPr>
      <w:r>
        <w:t xml:space="preserve">Internally: contact [name/role] on [phone] or [email]. Concerns can be raised anonymously.</w:t>
      </w:r>
    </w:p>
    <w:p>
      <w:pPr>
        <w:pStyle w:val="ListParagraph"/>
        <w:numPr>
          <w:ilvl w:val="0"/>
          <w:numId w:val="3"/>
        </w:numPr>
        <w:spacing w:after="80"/>
      </w:pPr>
      <w:r>
        <w:t xml:space="preserve">NDIS Quality and Safeguards Commission: 1800 035 544 or www.ndiscommission.gov.au. Anyone can complain to the Commission about an NDIS provider at any time.</w:t>
      </w:r>
    </w:p>
    <w:p>
      <w:pPr>
        <w:spacing w:after="160"/>
      </w:pPr>
      <w:r>
        <w:t xml:space="preserve">We do not tolerate any victimisation of a person who raises a concern in good faith.</w:t>
      </w:r>
    </w:p>
    <w:p>
      <w:pPr>
        <w:pStyle w:val="Heading1"/>
      </w:pPr>
      <w:r>
        <w:t xml:space="preserve">9. Related documents</w:t>
      </w:r>
    </w:p>
    <w:p>
      <w:pPr>
        <w:pStyle w:val="ListParagraph"/>
        <w:numPr>
          <w:ilvl w:val="0"/>
          <w:numId w:val="3"/>
        </w:numPr>
        <w:spacing w:after="80"/>
      </w:pPr>
      <w:r>
        <w:t xml:space="preserve">Complaints Management and Resolution Policy</w:t>
      </w:r>
    </w:p>
    <w:p>
      <w:pPr>
        <w:pStyle w:val="ListParagraph"/>
        <w:numPr>
          <w:ilvl w:val="0"/>
          <w:numId w:val="3"/>
        </w:numPr>
        <w:spacing w:after="80"/>
      </w:pPr>
      <w:r>
        <w:t xml:space="preserve">Incident Management and Reportable Incidents Policy</w:t>
      </w:r>
    </w:p>
    <w:p>
      <w:pPr>
        <w:pStyle w:val="ListParagraph"/>
        <w:numPr>
          <w:ilvl w:val="0"/>
          <w:numId w:val="3"/>
        </w:numPr>
        <w:spacing w:after="80"/>
      </w:pPr>
      <w:r>
        <w:t xml:space="preserve">Privacy and Information Management Policy</w:t>
      </w:r>
    </w:p>
    <w:p>
      <w:pPr>
        <w:pStyle w:val="ListParagraph"/>
        <w:numPr>
          <w:ilvl w:val="0"/>
          <w:numId w:val="3"/>
        </w:numPr>
        <w:spacing w:after="80"/>
      </w:pPr>
      <w:r>
        <w:t xml:space="preserve">Recruitment, Screening and Induction Policy</w:t>
      </w:r>
    </w:p>
    <w:p>
      <w:pPr>
        <w:pStyle w:val="Heading1"/>
      </w:pPr>
      <w:r>
        <w:t xml:space="preserve">10. Review</w:t>
      </w:r>
    </w:p>
    <w:p>
      <w:pPr>
        <w:spacing w:after="160"/>
      </w:pPr>
      <w:r>
        <w:t xml:space="preserve">This policy will be reviewed by [role] at least annually, after any relevant incident, and whenever the NDIS Code of Conduct or related rules change. Workers will be informed of all changes.</w:t>
      </w:r>
    </w:p>
    <w:p>
      <w:r>
        <w:br w:type="page"/>
      </w:r>
    </w:p>
    <w:p>
      <w:pPr>
        <w:pStyle w:val="Heading1"/>
      </w:pPr>
      <w:r>
        <w:t xml:space="preserve">Worker Acknowledgement</w:t>
      </w:r>
    </w:p>
    <w:p>
      <w:pPr>
        <w:spacing w:after="160"/>
      </w:pPr>
      <w:r>
        <w:t xml:space="preserve">I confirm that I have read and understood the [Organisation Name] NDIS Code of Conduct Policy. I understand my obligations under the NDIS Code of Conduct and agree to comply with them. I understand that a breach of this policy may result in disciplinary action and may be notified to the NDIS Quality and Safeguards Commission.</w:t>
      </w:r>
    </w:p>
    <w:p>
      <w:pPr>
        <w:spacing w:before="320"/>
      </w:pPr>
    </w:p>
    <w:p>
      <w:pPr>
        <w:tabs>
          <w:tab w:val="right" w:pos="9026" w:leader="underscore"/>
        </w:tabs>
        <w:spacing w:after="280"/>
      </w:pPr>
      <w:r>
        <w:rPr>
          <w:b/>
          <w:bCs/>
        </w:rPr>
        <w:t xml:space="preserve">Worker name: </w:t>
      </w:r>
      <w:r>
        <w:t xml:space="preserve">	</w:t>
      </w:r>
    </w:p>
    <w:p>
      <w:pPr>
        <w:tabs>
          <w:tab w:val="right" w:pos="9026" w:leader="underscore"/>
        </w:tabs>
        <w:spacing w:after="280"/>
      </w:pPr>
      <w:r>
        <w:rPr>
          <w:b/>
          <w:bCs/>
        </w:rPr>
        <w:t xml:space="preserve">Position: </w:t>
      </w:r>
      <w:r>
        <w:t xml:space="preserve">	</w:t>
      </w:r>
    </w:p>
    <w:p>
      <w:pPr>
        <w:tabs>
          <w:tab w:val="right" w:pos="9026" w:leader="underscore"/>
        </w:tabs>
        <w:spacing w:after="280"/>
      </w:pPr>
      <w:r>
        <w:rPr>
          <w:b/>
          <w:bCs/>
        </w:rPr>
        <w:t xml:space="preserve">Signature: </w:t>
      </w:r>
      <w:r>
        <w:t xml:space="preserve">	</w:t>
      </w:r>
    </w:p>
    <w:p>
      <w:pPr>
        <w:tabs>
          <w:tab w:val="right" w:pos="9026" w:leader="underscore"/>
        </w:tabs>
        <w:spacing w:after="280"/>
      </w:pPr>
      <w:r>
        <w:rPr>
          <w:b/>
          <w:bCs/>
        </w:rPr>
        <w:t xml:space="preserve">Date: </w:t>
      </w:r>
      <w:r>
        <w:t xml:space="preserve">	</w:t>
      </w:r>
    </w:p>
    <w:p>
      <w:pPr>
        <w:tabs>
          <w:tab w:val="right" w:pos="9026" w:leader="underscore"/>
        </w:tabs>
        <w:spacing w:after="280"/>
      </w:pPr>
      <w:r>
        <w:rPr>
          <w:b/>
          <w:bCs/>
        </w:rPr>
        <w:t xml:space="preserve">Manager name: </w:t>
      </w:r>
      <w:r>
        <w:t xml:space="preserve">	</w:t>
      </w:r>
    </w:p>
    <w:p>
      <w:pPr>
        <w:tabs>
          <w:tab w:val="right" w:pos="9026" w:leader="underscore"/>
        </w:tabs>
        <w:spacing w:after="280"/>
      </w:pPr>
      <w:r>
        <w:rPr>
          <w:b/>
          <w:bCs/>
        </w:rPr>
        <w:t xml:space="preserve">Manager signature: </w:t>
      </w:r>
      <w:r>
        <w:t xml:space="preserve">	</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color w:val="6B6285"/>
        <w:sz w:val="16"/>
        <w:szCs w:val="16"/>
      </w:rPr>
      <w:t xml:space="preserve">Free template by NDISify (ndisify.com). Adapt to your organisation. Not legal advice.</w:t>
    </w:r>
    <w:r>
      <w:rPr>
        <w:color w:val="6B6285"/>
        <w:sz w:val="16"/>
        <w:szCs w:val="16"/>
      </w:rPr>
      <w:t xml:space="preserve">	Page </w:t>
      <w:fldChar w:fldCharType="begin"/>
      <w:instrText xml:space="preserve">PAGE</w:instrText>
      <w:fldChar w:fldCharType="separate"/>
      <w:fldChar w:fldCharType="end"/>
      <w:t xml:space="preserve"> of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9BCEB" w:sz="4" w:space="4"/>
      </w:pBdr>
      <w:tabs>
        <w:tab w:val="right" w:pos="9026"/>
      </w:tabs>
    </w:pPr>
    <w:r>
      <w:rPr>
        <w:b/>
        <w:bCs/>
        <w:color w:val="6B6285"/>
        <w:sz w:val="18"/>
        <w:szCs w:val="18"/>
      </w:rPr>
      <w:t xml:space="preserve">[Organisation Name]</w:t>
    </w:r>
    <w:r>
      <w:rPr>
        <w:color w:val="6B6285"/>
        <w:sz w:val="18"/>
        <w:szCs w:val="18"/>
      </w:rPr>
      <w:t xml:space="preserve">	NDIS Code of Conduct Policy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20"/>
      <w:outlineLvl w:val="0"/>
    </w:pPr>
    <w:rPr>
      <w:rFonts w:ascii="Arial" w:cs="Arial" w:eastAsia="Arial" w:hAnsi="Arial"/>
      <w:b/>
      <w:bCs/>
      <w:color w:val="5B21B6"/>
      <w:sz w:val="32"/>
      <w:szCs w:val="32"/>
    </w:rPr>
  </w:style>
  <w:style w:type="paragraph" w:styleId="Heading2">
    <w:name w:val="Heading 2"/>
    <w:basedOn w:val="Normal"/>
    <w:next w:val="Normal"/>
    <w:qFormat/>
    <w:pPr>
      <w:spacing w:after="140" w:before="240"/>
      <w:outlineLvl w:val="1"/>
    </w:pPr>
    <w:rPr>
      <w:rFonts w:ascii="Arial" w:cs="Arial" w:eastAsia="Arial" w:hAnsi="Arial"/>
      <w:b/>
      <w:bCs/>
      <w:color w:val="2A1B4D"/>
      <w:sz w:val="25"/>
      <w:szCs w:val="25"/>
    </w:rPr>
  </w:style>
  <w:style w:type="paragraph" w:styleId="Title">
    <w:name w:val="Title"/>
    <w:basedOn w:val="Normal"/>
    <w:next w:val="Normal"/>
    <w:pPr>
      <w:spacing w:after="120"/>
    </w:pPr>
    <w:rPr>
      <w:rFonts w:ascii="Arial" w:cs="Arial" w:eastAsia="Arial" w:hAnsi="Arial"/>
      <w:b/>
      <w:bCs/>
      <w:color w:val="2A1B4D"/>
      <w:sz w:val="44"/>
      <w:szCs w:val="4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2026-06-10T05:22:03.356Z</dcterms:created>
  <dcterms:modified xsi:type="dcterms:W3CDTF">2026-06-10T05:22:03.362Z</dcterms:modified>
</cp:coreProperties>
</file>

<file path=docProps/custom.xml><?xml version="1.0" encoding="utf-8"?>
<Properties xmlns="http://schemas.openxmlformats.org/officeDocument/2006/custom-properties" xmlns:vt="http://schemas.openxmlformats.org/officeDocument/2006/docPropsVTypes"/>
</file>